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E49" w14:textId="7E517075" w:rsidR="00B739C1" w:rsidRPr="00B739C1" w:rsidRDefault="00B739C1" w:rsidP="00B739C1">
      <w:pPr>
        <w:ind w:left="200"/>
        <w:jc w:val="center"/>
        <w:rPr>
          <w:i/>
          <w:iCs/>
          <w:sz w:val="24"/>
        </w:rPr>
      </w:pPr>
      <w:r w:rsidRPr="00B739C1">
        <w:rPr>
          <w:i/>
          <w:iCs/>
          <w:sz w:val="24"/>
        </w:rPr>
        <w:t>Outdoor Recreation Legacy Partnership Program</w:t>
      </w:r>
    </w:p>
    <w:p w14:paraId="5B6F2528" w14:textId="282F335D" w:rsidR="00B739C1" w:rsidRPr="00B739C1" w:rsidRDefault="00B739C1" w:rsidP="00B739C1">
      <w:pPr>
        <w:ind w:left="200"/>
        <w:jc w:val="center"/>
        <w:rPr>
          <w:i/>
          <w:iCs/>
          <w:sz w:val="24"/>
        </w:rPr>
      </w:pPr>
      <w:r w:rsidRPr="00B739C1">
        <w:rPr>
          <w:i/>
          <w:iCs/>
          <w:sz w:val="24"/>
        </w:rPr>
        <w:t>2023- Round 7</w:t>
      </w:r>
    </w:p>
    <w:p w14:paraId="3D353BF0" w14:textId="1A3E68D2" w:rsidR="00B739C1" w:rsidRDefault="00B739C1" w:rsidP="00B739C1">
      <w:pPr>
        <w:ind w:left="200"/>
        <w:rPr>
          <w:sz w:val="24"/>
          <w:u w:val="single"/>
        </w:rPr>
      </w:pPr>
    </w:p>
    <w:p w14:paraId="59F5DED0" w14:textId="77777777" w:rsidR="00B739C1" w:rsidRDefault="00B739C1" w:rsidP="00B739C1">
      <w:pPr>
        <w:ind w:left="200"/>
        <w:rPr>
          <w:sz w:val="24"/>
          <w:u w:val="single"/>
        </w:rPr>
      </w:pPr>
    </w:p>
    <w:p w14:paraId="0549868F" w14:textId="77777777" w:rsidR="0068162E" w:rsidRDefault="0068162E" w:rsidP="0068162E">
      <w:pPr>
        <w:pStyle w:val="Heading1"/>
        <w:spacing w:before="60"/>
      </w:pPr>
      <w:r>
        <w:t>Detailed Budget Narrative (5-page limit)</w:t>
      </w:r>
    </w:p>
    <w:p w14:paraId="70BBDD5C" w14:textId="76E7025B" w:rsidR="0068162E" w:rsidRDefault="0068162E" w:rsidP="0068162E">
      <w:pPr>
        <w:pStyle w:val="BodyText"/>
        <w:spacing w:before="20"/>
        <w:ind w:left="200" w:right="331"/>
      </w:pPr>
      <w:r>
        <w:t xml:space="preserve">The project budget shall include detailed information on all cost categories and must clearly identify all estimated project costs. Unit costs shall be provided for all budget items including the cost of work to be provided by contractors or sub-recipients. In addition, applicants shall include a narrative description of the items included in the project budget, including the value of in-kind contributions of goods and services provided to complete the project when cost share is identified to be included </w:t>
      </w:r>
      <w:r w:rsidRPr="0068162E">
        <w:rPr>
          <w:highlight w:val="yellow"/>
        </w:rPr>
        <w:t>(reference section C of th</w:t>
      </w:r>
      <w:r w:rsidR="000B4D13">
        <w:rPr>
          <w:highlight w:val="yellow"/>
        </w:rPr>
        <w:t>e NOFO</w:t>
      </w:r>
      <w:r>
        <w:t>). Cost categories should be organized under, and roll up to, the major budget object classes included on the SF424A or SF424C.</w:t>
      </w:r>
    </w:p>
    <w:p w14:paraId="72280236" w14:textId="77777777" w:rsidR="0068162E" w:rsidRDefault="0068162E" w:rsidP="0068162E">
      <w:pPr>
        <w:pStyle w:val="BodyText"/>
        <w:spacing w:before="8"/>
        <w:rPr>
          <w:sz w:val="25"/>
        </w:rPr>
      </w:pPr>
    </w:p>
    <w:p w14:paraId="03E9D220" w14:textId="77777777" w:rsidR="0068162E" w:rsidRDefault="0068162E" w:rsidP="0068162E">
      <w:pPr>
        <w:pStyle w:val="BodyText"/>
        <w:ind w:left="200" w:right="649"/>
      </w:pPr>
      <w:r>
        <w:t xml:space="preserve">Budget information should reflect only costs related to work/acquisition that will </w:t>
      </w:r>
      <w:proofErr w:type="gramStart"/>
      <w:r>
        <w:t>completed</w:t>
      </w:r>
      <w:proofErr w:type="gramEnd"/>
      <w:r>
        <w:t xml:space="preserve"> under an ORLP grant if selected. A total budget for the entire project (including work beyond what would be funded under a grant) may be provided separately. Note that the ORLP funded portion of the project must result in a viable recreation opportunity that is not reliant on other funding even in the context of a larger planned project.</w:t>
      </w:r>
    </w:p>
    <w:p w14:paraId="3C2EB685" w14:textId="77777777" w:rsidR="0068162E" w:rsidRDefault="0068162E" w:rsidP="0068162E">
      <w:pPr>
        <w:pStyle w:val="BodyText"/>
        <w:spacing w:before="9"/>
        <w:rPr>
          <w:sz w:val="25"/>
        </w:rPr>
      </w:pPr>
    </w:p>
    <w:p w14:paraId="671CDC30" w14:textId="77777777" w:rsidR="0068162E" w:rsidRDefault="0068162E" w:rsidP="0068162E">
      <w:pPr>
        <w:pStyle w:val="BodyText"/>
        <w:ind w:left="200"/>
      </w:pPr>
      <w:r>
        <w:t>The detailed budget must:</w:t>
      </w:r>
    </w:p>
    <w:p w14:paraId="59380F67" w14:textId="77777777" w:rsidR="0068162E" w:rsidRDefault="0068162E" w:rsidP="0068162E">
      <w:pPr>
        <w:pStyle w:val="BodyText"/>
        <w:spacing w:before="9"/>
        <w:rPr>
          <w:sz w:val="25"/>
        </w:rPr>
      </w:pPr>
    </w:p>
    <w:p w14:paraId="56B3C6D2" w14:textId="77777777" w:rsidR="0068162E" w:rsidRDefault="0068162E" w:rsidP="0068162E">
      <w:pPr>
        <w:pStyle w:val="ListParagraph"/>
        <w:numPr>
          <w:ilvl w:val="0"/>
          <w:numId w:val="3"/>
        </w:numPr>
        <w:tabs>
          <w:tab w:val="left" w:pos="920"/>
          <w:tab w:val="left" w:pos="921"/>
        </w:tabs>
        <w:rPr>
          <w:sz w:val="24"/>
        </w:rPr>
      </w:pPr>
      <w:r>
        <w:rPr>
          <w:sz w:val="24"/>
        </w:rPr>
        <w:t xml:space="preserve">Include a </w:t>
      </w:r>
      <w:r>
        <w:rPr>
          <w:i/>
          <w:sz w:val="24"/>
        </w:rPr>
        <w:t xml:space="preserve">detailed </w:t>
      </w:r>
      <w:r>
        <w:rPr>
          <w:sz w:val="24"/>
        </w:rPr>
        <w:t>breakdown of proposed project</w:t>
      </w:r>
      <w:r>
        <w:rPr>
          <w:spacing w:val="-3"/>
          <w:sz w:val="24"/>
        </w:rPr>
        <w:t xml:space="preserve"> </w:t>
      </w:r>
      <w:r>
        <w:rPr>
          <w:sz w:val="24"/>
        </w:rPr>
        <w:t>costs.</w:t>
      </w:r>
    </w:p>
    <w:p w14:paraId="49DF4F6A" w14:textId="77777777" w:rsidR="0068162E" w:rsidRDefault="0068162E" w:rsidP="0068162E">
      <w:pPr>
        <w:pStyle w:val="ListParagraph"/>
        <w:numPr>
          <w:ilvl w:val="0"/>
          <w:numId w:val="3"/>
        </w:numPr>
        <w:tabs>
          <w:tab w:val="left" w:pos="920"/>
          <w:tab w:val="left" w:pos="921"/>
        </w:tabs>
        <w:spacing w:before="19"/>
        <w:ind w:right="1267"/>
        <w:rPr>
          <w:sz w:val="24"/>
        </w:rPr>
      </w:pPr>
      <w:r>
        <w:rPr>
          <w:sz w:val="24"/>
        </w:rPr>
        <w:t>Indicate the amount of each cost that will be covered by the federal share versus matching share.</w:t>
      </w:r>
    </w:p>
    <w:p w14:paraId="16F66948" w14:textId="77777777" w:rsidR="0068162E" w:rsidRDefault="0068162E" w:rsidP="0068162E">
      <w:pPr>
        <w:pStyle w:val="ListParagraph"/>
        <w:numPr>
          <w:ilvl w:val="0"/>
          <w:numId w:val="3"/>
        </w:numPr>
        <w:tabs>
          <w:tab w:val="left" w:pos="920"/>
          <w:tab w:val="left" w:pos="921"/>
        </w:tabs>
        <w:spacing w:before="19"/>
        <w:ind w:right="640"/>
        <w:rPr>
          <w:i/>
          <w:sz w:val="24"/>
        </w:rPr>
      </w:pPr>
      <w:r>
        <w:rPr>
          <w:sz w:val="24"/>
        </w:rPr>
        <w:t xml:space="preserve">List all agencies, organizations or other entities providing matching share and describe the type of contributions (e.g., cash or in-kind donations). </w:t>
      </w:r>
      <w:r>
        <w:rPr>
          <w:i/>
          <w:sz w:val="24"/>
        </w:rPr>
        <w:t>A letter from each secured matching-share contributor must be included in a letter confirming the commitment of match (includes match from project</w:t>
      </w:r>
      <w:r>
        <w:rPr>
          <w:i/>
          <w:spacing w:val="-2"/>
          <w:sz w:val="24"/>
        </w:rPr>
        <w:t xml:space="preserve"> </w:t>
      </w:r>
      <w:r>
        <w:rPr>
          <w:i/>
          <w:sz w:val="24"/>
        </w:rPr>
        <w:t>sponsor).</w:t>
      </w:r>
    </w:p>
    <w:p w14:paraId="0631A57C" w14:textId="77777777" w:rsidR="0068162E" w:rsidRDefault="0068162E" w:rsidP="0068162E">
      <w:pPr>
        <w:pStyle w:val="ListParagraph"/>
        <w:numPr>
          <w:ilvl w:val="0"/>
          <w:numId w:val="3"/>
        </w:numPr>
        <w:tabs>
          <w:tab w:val="left" w:pos="920"/>
          <w:tab w:val="left" w:pos="921"/>
        </w:tabs>
        <w:spacing w:before="20"/>
        <w:ind w:right="1045"/>
        <w:rPr>
          <w:sz w:val="24"/>
        </w:rPr>
      </w:pPr>
      <w:r>
        <w:rPr>
          <w:sz w:val="24"/>
        </w:rPr>
        <w:t>State the value and type (cash, donation of equipment etc.) of each matching share contribution.</w:t>
      </w:r>
    </w:p>
    <w:p w14:paraId="39A62D9C" w14:textId="77777777" w:rsidR="0068162E" w:rsidRDefault="0068162E" w:rsidP="0068162E">
      <w:pPr>
        <w:pStyle w:val="ListParagraph"/>
        <w:numPr>
          <w:ilvl w:val="0"/>
          <w:numId w:val="3"/>
        </w:numPr>
        <w:tabs>
          <w:tab w:val="left" w:pos="920"/>
          <w:tab w:val="left" w:pos="921"/>
        </w:tabs>
        <w:spacing w:before="19"/>
        <w:ind w:right="720"/>
        <w:rPr>
          <w:sz w:val="24"/>
        </w:rPr>
      </w:pPr>
      <w:r>
        <w:rPr>
          <w:sz w:val="24"/>
        </w:rPr>
        <w:t>State that the matching share contribution is secure or firmly committed at the time of application.</w:t>
      </w:r>
    </w:p>
    <w:p w14:paraId="37308FEA" w14:textId="77777777" w:rsidR="0068162E" w:rsidRDefault="0068162E" w:rsidP="0068162E">
      <w:pPr>
        <w:pStyle w:val="ListParagraph"/>
        <w:numPr>
          <w:ilvl w:val="0"/>
          <w:numId w:val="3"/>
        </w:numPr>
        <w:tabs>
          <w:tab w:val="left" w:pos="920"/>
          <w:tab w:val="left" w:pos="921"/>
        </w:tabs>
        <w:spacing w:before="19"/>
        <w:ind w:right="502"/>
        <w:rPr>
          <w:sz w:val="24"/>
        </w:rPr>
      </w:pPr>
      <w:r>
        <w:rPr>
          <w:sz w:val="24"/>
        </w:rPr>
        <w:t>Include direct costs for compliance activities, including tribal monitoring, if</w:t>
      </w:r>
      <w:r>
        <w:rPr>
          <w:spacing w:val="-15"/>
          <w:sz w:val="24"/>
        </w:rPr>
        <w:t xml:space="preserve"> </w:t>
      </w:r>
      <w:r>
        <w:rPr>
          <w:sz w:val="24"/>
        </w:rPr>
        <w:t xml:space="preserve">anticipated. No additional federal </w:t>
      </w:r>
      <w:proofErr w:type="gramStart"/>
      <w:r>
        <w:rPr>
          <w:sz w:val="24"/>
        </w:rPr>
        <w:t>fund</w:t>
      </w:r>
      <w:proofErr w:type="gramEnd"/>
      <w:r>
        <w:rPr>
          <w:sz w:val="24"/>
        </w:rPr>
        <w:t xml:space="preserve"> will be provided if requested after application</w:t>
      </w:r>
      <w:r>
        <w:rPr>
          <w:spacing w:val="-12"/>
          <w:sz w:val="24"/>
        </w:rPr>
        <w:t xml:space="preserve"> </w:t>
      </w:r>
      <w:r>
        <w:rPr>
          <w:sz w:val="24"/>
        </w:rPr>
        <w:t>submission.</w:t>
      </w:r>
    </w:p>
    <w:p w14:paraId="5D0DE078" w14:textId="77777777" w:rsidR="0068162E" w:rsidRDefault="0068162E" w:rsidP="0068162E">
      <w:pPr>
        <w:pStyle w:val="ListParagraph"/>
        <w:numPr>
          <w:ilvl w:val="0"/>
          <w:numId w:val="3"/>
        </w:numPr>
        <w:tabs>
          <w:tab w:val="left" w:pos="920"/>
          <w:tab w:val="left" w:pos="921"/>
        </w:tabs>
        <w:spacing w:before="20"/>
        <w:ind w:right="1413"/>
        <w:rPr>
          <w:sz w:val="24"/>
        </w:rPr>
      </w:pPr>
      <w:r>
        <w:rPr>
          <w:sz w:val="24"/>
        </w:rPr>
        <w:t>Provide a description of the methodology used to determine the amount of any contingency costs</w:t>
      </w:r>
      <w:r>
        <w:rPr>
          <w:spacing w:val="-2"/>
          <w:sz w:val="24"/>
        </w:rPr>
        <w:t xml:space="preserve"> </w:t>
      </w:r>
      <w:r>
        <w:rPr>
          <w:sz w:val="24"/>
        </w:rPr>
        <w:t>included.</w:t>
      </w:r>
    </w:p>
    <w:p w14:paraId="78693AF9" w14:textId="77777777" w:rsidR="0068162E" w:rsidRDefault="0068162E" w:rsidP="0068162E">
      <w:pPr>
        <w:pStyle w:val="ListParagraph"/>
        <w:numPr>
          <w:ilvl w:val="0"/>
          <w:numId w:val="3"/>
        </w:numPr>
        <w:tabs>
          <w:tab w:val="left" w:pos="920"/>
          <w:tab w:val="left" w:pos="921"/>
        </w:tabs>
        <w:spacing w:before="19"/>
        <w:rPr>
          <w:sz w:val="24"/>
        </w:rPr>
      </w:pPr>
      <w:r>
        <w:rPr>
          <w:sz w:val="24"/>
        </w:rPr>
        <w:t>Identify who developed the estimated budget and on the basis for the</w:t>
      </w:r>
      <w:r>
        <w:rPr>
          <w:spacing w:val="-6"/>
          <w:sz w:val="24"/>
        </w:rPr>
        <w:t xml:space="preserve"> </w:t>
      </w:r>
      <w:r>
        <w:rPr>
          <w:sz w:val="24"/>
        </w:rPr>
        <w:t>estimates.</w:t>
      </w:r>
    </w:p>
    <w:p w14:paraId="78086B6C" w14:textId="77777777" w:rsidR="0068162E" w:rsidRDefault="0068162E" w:rsidP="0068162E">
      <w:pPr>
        <w:pStyle w:val="BodyText"/>
        <w:spacing w:before="4"/>
        <w:rPr>
          <w:sz w:val="27"/>
        </w:rPr>
      </w:pPr>
    </w:p>
    <w:p w14:paraId="760E0FEF" w14:textId="2ED72910" w:rsidR="0068162E" w:rsidRDefault="0068162E" w:rsidP="0068162E">
      <w:pPr>
        <w:ind w:left="200" w:right="495"/>
        <w:rPr>
          <w:sz w:val="24"/>
        </w:rPr>
      </w:pPr>
      <w:r>
        <w:rPr>
          <w:sz w:val="24"/>
          <w:u w:val="single"/>
        </w:rPr>
        <w:t>ORLP projects are limited to using a maximum of 25% of the total budget for costs not directly</w:t>
      </w:r>
      <w:r>
        <w:rPr>
          <w:sz w:val="24"/>
        </w:rPr>
        <w:t xml:space="preserve"> </w:t>
      </w:r>
      <w:r>
        <w:rPr>
          <w:sz w:val="24"/>
          <w:u w:val="single"/>
        </w:rPr>
        <w:t>attributable to physical development/rehabilitation activities, supplies, equipment, or cost of</w:t>
      </w:r>
      <w:r>
        <w:rPr>
          <w:sz w:val="24"/>
        </w:rPr>
        <w:t xml:space="preserve"> </w:t>
      </w:r>
      <w:r>
        <w:rPr>
          <w:sz w:val="24"/>
          <w:u w:val="single"/>
        </w:rPr>
        <w:t>land</w:t>
      </w:r>
      <w:r>
        <w:rPr>
          <w:b/>
          <w:sz w:val="24"/>
        </w:rPr>
        <w:t xml:space="preserve">. </w:t>
      </w:r>
      <w:r>
        <w:rPr>
          <w:sz w:val="24"/>
        </w:rPr>
        <w:t>Additionally, the LWCF Act specifically excludes acquisition support costs (such as title research and appraisals)</w:t>
      </w:r>
      <w:r>
        <w:rPr>
          <w:i/>
          <w:sz w:val="24"/>
        </w:rPr>
        <w:t xml:space="preserve">. </w:t>
      </w:r>
      <w:r>
        <w:rPr>
          <w:sz w:val="24"/>
        </w:rPr>
        <w:t>(</w:t>
      </w:r>
      <w:r w:rsidRPr="0068162E">
        <w:rPr>
          <w:i/>
          <w:sz w:val="24"/>
          <w:highlight w:val="yellow"/>
        </w:rPr>
        <w:t xml:space="preserve">See “Program Funding Restrictions” </w:t>
      </w:r>
      <w:r w:rsidR="004F1AC8">
        <w:rPr>
          <w:i/>
          <w:sz w:val="24"/>
          <w:highlight w:val="yellow"/>
        </w:rPr>
        <w:t xml:space="preserve">below, taken from </w:t>
      </w:r>
      <w:r w:rsidRPr="0068162E">
        <w:rPr>
          <w:i/>
          <w:sz w:val="24"/>
          <w:highlight w:val="yellow"/>
        </w:rPr>
        <w:t>Section D6</w:t>
      </w:r>
      <w:r w:rsidR="004F1AC8">
        <w:rPr>
          <w:i/>
          <w:sz w:val="24"/>
          <w:highlight w:val="yellow"/>
        </w:rPr>
        <w:t xml:space="preserve"> of the NOFO</w:t>
      </w:r>
      <w:r>
        <w:rPr>
          <w:sz w:val="24"/>
        </w:rPr>
        <w:t>)</w:t>
      </w:r>
    </w:p>
    <w:p w14:paraId="14862DDA" w14:textId="77777777" w:rsidR="0068162E" w:rsidRDefault="0068162E" w:rsidP="0068162E">
      <w:pPr>
        <w:pStyle w:val="BodyText"/>
      </w:pPr>
    </w:p>
    <w:p w14:paraId="7A99B891" w14:textId="77777777" w:rsidR="0068162E" w:rsidRDefault="0068162E" w:rsidP="0068162E">
      <w:pPr>
        <w:pStyle w:val="BodyText"/>
        <w:ind w:left="200" w:right="410"/>
      </w:pPr>
      <w:r>
        <w:t xml:space="preserve">Per 2 CFR 200 Section C.2.b, “Both the direct costs and the indirect costs must exclude capital expenditures and unallowable costs. However, unallowable costs must be included in the direct costs if they represent activities to which indirect costs are properly allocable.” Therefore, as the </w:t>
      </w:r>
      <w:r>
        <w:lastRenderedPageBreak/>
        <w:t>ORLP program funds capital projects, indirect costs are not allowed.</w:t>
      </w:r>
    </w:p>
    <w:p w14:paraId="53A713F3" w14:textId="77777777" w:rsidR="00F97ACD" w:rsidRDefault="00F97ACD" w:rsidP="0068162E">
      <w:pPr>
        <w:ind w:left="200"/>
      </w:pPr>
    </w:p>
    <w:p w14:paraId="48659F06" w14:textId="77777777" w:rsidR="00C26010" w:rsidRDefault="00C26010" w:rsidP="00C26010">
      <w:pPr>
        <w:pBdr>
          <w:bottom w:val="single" w:sz="4" w:space="1" w:color="auto"/>
        </w:pBdr>
        <w:ind w:left="200"/>
      </w:pPr>
    </w:p>
    <w:p w14:paraId="79CA3C33" w14:textId="77777777" w:rsidR="00C26010" w:rsidRDefault="00C26010" w:rsidP="0068162E">
      <w:pPr>
        <w:ind w:left="200"/>
      </w:pPr>
    </w:p>
    <w:p w14:paraId="56C17E98" w14:textId="601193A9" w:rsidR="00C26010" w:rsidRPr="00C26010" w:rsidRDefault="00C26010" w:rsidP="00C26010">
      <w:pPr>
        <w:pStyle w:val="Heading1"/>
        <w:tabs>
          <w:tab w:val="left" w:pos="440"/>
        </w:tabs>
        <w:spacing w:before="90"/>
        <w:rPr>
          <w:i/>
          <w:iCs/>
          <w:sz w:val="20"/>
          <w:szCs w:val="20"/>
        </w:rPr>
      </w:pPr>
      <w:r w:rsidRPr="00C26010">
        <w:rPr>
          <w:i/>
          <w:iCs/>
          <w:sz w:val="20"/>
          <w:szCs w:val="20"/>
        </w:rPr>
        <w:t>Funding</w:t>
      </w:r>
      <w:r w:rsidRPr="00C26010">
        <w:rPr>
          <w:i/>
          <w:iCs/>
          <w:spacing w:val="-1"/>
          <w:sz w:val="20"/>
          <w:szCs w:val="20"/>
        </w:rPr>
        <w:t xml:space="preserve"> </w:t>
      </w:r>
      <w:r w:rsidRPr="00C26010">
        <w:rPr>
          <w:i/>
          <w:iCs/>
          <w:sz w:val="20"/>
          <w:szCs w:val="20"/>
        </w:rPr>
        <w:t>Restrictions</w:t>
      </w:r>
      <w:r w:rsidRPr="00C26010">
        <w:rPr>
          <w:i/>
          <w:iCs/>
          <w:sz w:val="20"/>
          <w:szCs w:val="20"/>
        </w:rPr>
        <w:t xml:space="preserve"> (from page17 of the NOFO)</w:t>
      </w:r>
    </w:p>
    <w:p w14:paraId="58227AD6" w14:textId="77777777" w:rsidR="00C26010" w:rsidRPr="00C26010" w:rsidRDefault="00C26010" w:rsidP="00C26010">
      <w:pPr>
        <w:pStyle w:val="BodyText"/>
        <w:spacing w:before="41"/>
        <w:ind w:left="200" w:right="631"/>
        <w:rPr>
          <w:i/>
          <w:iCs/>
          <w:sz w:val="20"/>
          <w:szCs w:val="20"/>
        </w:rPr>
      </w:pPr>
      <w:r w:rsidRPr="00C26010">
        <w:rPr>
          <w:i/>
          <w:iCs/>
          <w:sz w:val="20"/>
          <w:szCs w:val="20"/>
        </w:rPr>
        <w:t>Costs incurred by the applicant prior to the start date of the period of performance of a signed Federal award are only allowable with written approval by a Financial Assistance Awarding Officer.</w:t>
      </w:r>
    </w:p>
    <w:p w14:paraId="1593C901" w14:textId="77777777" w:rsidR="00C26010" w:rsidRDefault="00C26010" w:rsidP="00C26010">
      <w:pPr>
        <w:pStyle w:val="Heading1"/>
        <w:spacing w:before="60"/>
        <w:rPr>
          <w:i/>
          <w:iCs/>
          <w:sz w:val="20"/>
          <w:szCs w:val="20"/>
        </w:rPr>
      </w:pPr>
    </w:p>
    <w:p w14:paraId="56BBBDC9" w14:textId="487A441C" w:rsidR="00C26010" w:rsidRPr="00C26010" w:rsidRDefault="00C26010" w:rsidP="00C26010">
      <w:pPr>
        <w:pStyle w:val="Heading1"/>
        <w:spacing w:before="60"/>
        <w:rPr>
          <w:i/>
          <w:iCs/>
          <w:sz w:val="20"/>
          <w:szCs w:val="20"/>
        </w:rPr>
      </w:pPr>
      <w:r w:rsidRPr="00C26010">
        <w:rPr>
          <w:i/>
          <w:iCs/>
          <w:sz w:val="20"/>
          <w:szCs w:val="20"/>
        </w:rPr>
        <w:t>Additional LWCF Program Funding Restrictions:</w:t>
      </w:r>
    </w:p>
    <w:p w14:paraId="7B6CAC6C" w14:textId="77777777" w:rsidR="00C26010" w:rsidRPr="00C26010" w:rsidRDefault="00C26010" w:rsidP="00C26010">
      <w:pPr>
        <w:pStyle w:val="BodyText"/>
        <w:ind w:left="200" w:right="902"/>
        <w:rPr>
          <w:i/>
          <w:iCs/>
          <w:sz w:val="20"/>
          <w:szCs w:val="20"/>
        </w:rPr>
      </w:pPr>
      <w:r w:rsidRPr="00C26010">
        <w:rPr>
          <w:i/>
          <w:iCs/>
          <w:sz w:val="20"/>
          <w:szCs w:val="20"/>
        </w:rPr>
        <w:t>LWCF ORLP grants may only be used for costs needed to support the acquisition or development of lands and facilities that will provide outdoor recreation opportunities to the public. LWCF/ORLP funds may not be used for:</w:t>
      </w:r>
    </w:p>
    <w:p w14:paraId="131F945D" w14:textId="77777777" w:rsidR="00C26010" w:rsidRPr="00C26010" w:rsidRDefault="00C26010" w:rsidP="00C26010">
      <w:pPr>
        <w:pStyle w:val="ListParagraph"/>
        <w:numPr>
          <w:ilvl w:val="1"/>
          <w:numId w:val="4"/>
        </w:numPr>
        <w:tabs>
          <w:tab w:val="left" w:pos="920"/>
          <w:tab w:val="left" w:pos="921"/>
        </w:tabs>
        <w:spacing w:before="141"/>
        <w:rPr>
          <w:i/>
          <w:iCs/>
          <w:sz w:val="20"/>
          <w:szCs w:val="20"/>
        </w:rPr>
      </w:pPr>
      <w:r w:rsidRPr="00C26010">
        <w:rPr>
          <w:i/>
          <w:iCs/>
          <w:sz w:val="20"/>
          <w:szCs w:val="20"/>
        </w:rPr>
        <w:t>Grant administration expenses for state lead</w:t>
      </w:r>
      <w:r w:rsidRPr="00C26010">
        <w:rPr>
          <w:i/>
          <w:iCs/>
          <w:spacing w:val="-1"/>
          <w:sz w:val="20"/>
          <w:szCs w:val="20"/>
        </w:rPr>
        <w:t xml:space="preserve"> </w:t>
      </w:r>
      <w:r w:rsidRPr="00C26010">
        <w:rPr>
          <w:i/>
          <w:iCs/>
          <w:sz w:val="20"/>
          <w:szCs w:val="20"/>
        </w:rPr>
        <w:t>offices,</w:t>
      </w:r>
    </w:p>
    <w:p w14:paraId="3D8B6144" w14:textId="77777777" w:rsidR="00C26010" w:rsidRPr="00C26010" w:rsidRDefault="00C26010" w:rsidP="00C26010">
      <w:pPr>
        <w:pStyle w:val="ListParagraph"/>
        <w:numPr>
          <w:ilvl w:val="1"/>
          <w:numId w:val="4"/>
        </w:numPr>
        <w:tabs>
          <w:tab w:val="left" w:pos="920"/>
          <w:tab w:val="left" w:pos="921"/>
        </w:tabs>
        <w:spacing w:before="19"/>
        <w:rPr>
          <w:i/>
          <w:iCs/>
          <w:sz w:val="20"/>
          <w:szCs w:val="20"/>
        </w:rPr>
      </w:pPr>
      <w:r w:rsidRPr="00C26010">
        <w:rPr>
          <w:i/>
          <w:iCs/>
          <w:sz w:val="20"/>
          <w:szCs w:val="20"/>
        </w:rPr>
        <w:t>Acquisition support costs such as appraisals or title</w:t>
      </w:r>
      <w:r w:rsidRPr="00C26010">
        <w:rPr>
          <w:i/>
          <w:iCs/>
          <w:spacing w:val="-3"/>
          <w:sz w:val="20"/>
          <w:szCs w:val="20"/>
        </w:rPr>
        <w:t xml:space="preserve"> </w:t>
      </w:r>
      <w:r w:rsidRPr="00C26010">
        <w:rPr>
          <w:i/>
          <w:iCs/>
          <w:sz w:val="20"/>
          <w:szCs w:val="20"/>
        </w:rPr>
        <w:t>work,</w:t>
      </w:r>
    </w:p>
    <w:p w14:paraId="271F515C" w14:textId="77777777" w:rsidR="00C26010" w:rsidRPr="00C26010" w:rsidRDefault="00C26010" w:rsidP="00C26010">
      <w:pPr>
        <w:pStyle w:val="ListParagraph"/>
        <w:numPr>
          <w:ilvl w:val="1"/>
          <w:numId w:val="4"/>
        </w:numPr>
        <w:tabs>
          <w:tab w:val="left" w:pos="920"/>
          <w:tab w:val="left" w:pos="921"/>
        </w:tabs>
        <w:spacing w:before="19"/>
        <w:rPr>
          <w:i/>
          <w:iCs/>
          <w:sz w:val="20"/>
          <w:szCs w:val="20"/>
        </w:rPr>
      </w:pPr>
      <w:r w:rsidRPr="00C26010">
        <w:rPr>
          <w:i/>
          <w:iCs/>
          <w:sz w:val="20"/>
          <w:szCs w:val="20"/>
        </w:rPr>
        <w:t>Operation and maintenance</w:t>
      </w:r>
      <w:r w:rsidRPr="00C26010">
        <w:rPr>
          <w:i/>
          <w:iCs/>
          <w:spacing w:val="-2"/>
          <w:sz w:val="20"/>
          <w:szCs w:val="20"/>
        </w:rPr>
        <w:t xml:space="preserve"> </w:t>
      </w:r>
      <w:r w:rsidRPr="00C26010">
        <w:rPr>
          <w:i/>
          <w:iCs/>
          <w:sz w:val="20"/>
          <w:szCs w:val="20"/>
        </w:rPr>
        <w:t>activities,</w:t>
      </w:r>
    </w:p>
    <w:p w14:paraId="77810039" w14:textId="77777777" w:rsidR="00C26010" w:rsidRPr="00C26010" w:rsidRDefault="00C26010" w:rsidP="00C26010">
      <w:pPr>
        <w:pStyle w:val="ListParagraph"/>
        <w:numPr>
          <w:ilvl w:val="1"/>
          <w:numId w:val="4"/>
        </w:numPr>
        <w:tabs>
          <w:tab w:val="left" w:pos="920"/>
          <w:tab w:val="left" w:pos="921"/>
        </w:tabs>
        <w:spacing w:before="19"/>
        <w:ind w:right="1152"/>
        <w:rPr>
          <w:i/>
          <w:iCs/>
          <w:sz w:val="20"/>
          <w:szCs w:val="20"/>
        </w:rPr>
      </w:pPr>
      <w:r w:rsidRPr="00C26010">
        <w:rPr>
          <w:i/>
          <w:iCs/>
          <w:sz w:val="20"/>
          <w:szCs w:val="20"/>
        </w:rPr>
        <w:t>Facilities that support semi-professional or professional athletics such as baseball stadiums or soccer</w:t>
      </w:r>
      <w:r w:rsidRPr="00C26010">
        <w:rPr>
          <w:i/>
          <w:iCs/>
          <w:spacing w:val="-3"/>
          <w:sz w:val="20"/>
          <w:szCs w:val="20"/>
        </w:rPr>
        <w:t xml:space="preserve"> </w:t>
      </w:r>
      <w:r w:rsidRPr="00C26010">
        <w:rPr>
          <w:i/>
          <w:iCs/>
          <w:sz w:val="20"/>
          <w:szCs w:val="20"/>
        </w:rPr>
        <w:t>arenas,</w:t>
      </w:r>
    </w:p>
    <w:p w14:paraId="2AF287B0" w14:textId="77777777" w:rsidR="00C26010" w:rsidRPr="00C26010" w:rsidRDefault="00C26010" w:rsidP="00C26010">
      <w:pPr>
        <w:pStyle w:val="ListParagraph"/>
        <w:numPr>
          <w:ilvl w:val="1"/>
          <w:numId w:val="4"/>
        </w:numPr>
        <w:tabs>
          <w:tab w:val="left" w:pos="920"/>
          <w:tab w:val="left" w:pos="921"/>
        </w:tabs>
        <w:spacing w:before="19"/>
        <w:ind w:right="368"/>
        <w:rPr>
          <w:i/>
          <w:iCs/>
          <w:sz w:val="20"/>
          <w:szCs w:val="20"/>
        </w:rPr>
      </w:pPr>
      <w:r w:rsidRPr="00C26010">
        <w:rPr>
          <w:i/>
          <w:iCs/>
          <w:sz w:val="20"/>
          <w:szCs w:val="20"/>
        </w:rPr>
        <w:t>Indoor facilities such as recreation centers or facilities that support primarily</w:t>
      </w:r>
      <w:r w:rsidRPr="00C26010">
        <w:rPr>
          <w:i/>
          <w:iCs/>
          <w:spacing w:val="-11"/>
          <w:sz w:val="20"/>
          <w:szCs w:val="20"/>
        </w:rPr>
        <w:t xml:space="preserve"> </w:t>
      </w:r>
      <w:r w:rsidRPr="00C26010">
        <w:rPr>
          <w:i/>
          <w:iCs/>
          <w:sz w:val="20"/>
          <w:szCs w:val="20"/>
        </w:rPr>
        <w:t>non-outdoor purposes like dining facilities or overnight accommodation (such as a lodge or hotel),</w:t>
      </w:r>
      <w:r w:rsidRPr="00C26010">
        <w:rPr>
          <w:i/>
          <w:iCs/>
          <w:spacing w:val="-7"/>
          <w:sz w:val="20"/>
          <w:szCs w:val="20"/>
        </w:rPr>
        <w:t xml:space="preserve"> </w:t>
      </w:r>
      <w:r w:rsidRPr="00C26010">
        <w:rPr>
          <w:i/>
          <w:iCs/>
          <w:sz w:val="20"/>
          <w:szCs w:val="20"/>
        </w:rPr>
        <w:t>or</w:t>
      </w:r>
    </w:p>
    <w:p w14:paraId="354C43E1" w14:textId="77777777" w:rsidR="00C26010" w:rsidRPr="00C26010" w:rsidRDefault="00C26010" w:rsidP="00C26010">
      <w:pPr>
        <w:pStyle w:val="ListParagraph"/>
        <w:numPr>
          <w:ilvl w:val="1"/>
          <w:numId w:val="4"/>
        </w:numPr>
        <w:tabs>
          <w:tab w:val="left" w:pos="920"/>
          <w:tab w:val="left" w:pos="921"/>
        </w:tabs>
        <w:spacing w:before="19"/>
        <w:ind w:right="962"/>
        <w:rPr>
          <w:i/>
          <w:iCs/>
          <w:sz w:val="20"/>
          <w:szCs w:val="20"/>
        </w:rPr>
      </w:pPr>
      <w:r w:rsidRPr="00C26010">
        <w:rPr>
          <w:i/>
          <w:iCs/>
          <w:sz w:val="20"/>
          <w:szCs w:val="20"/>
        </w:rPr>
        <w:t>Acquisition of lands, or interests in lands, that completely restrict access to</w:t>
      </w:r>
      <w:r w:rsidRPr="00C26010">
        <w:rPr>
          <w:i/>
          <w:iCs/>
          <w:spacing w:val="-13"/>
          <w:sz w:val="20"/>
          <w:szCs w:val="20"/>
        </w:rPr>
        <w:t xml:space="preserve"> </w:t>
      </w:r>
      <w:r w:rsidRPr="00C26010">
        <w:rPr>
          <w:i/>
          <w:iCs/>
          <w:sz w:val="20"/>
          <w:szCs w:val="20"/>
        </w:rPr>
        <w:t>specific persons (e.g., non-residents of a</w:t>
      </w:r>
      <w:r w:rsidRPr="00C26010">
        <w:rPr>
          <w:i/>
          <w:iCs/>
          <w:spacing w:val="-1"/>
          <w:sz w:val="20"/>
          <w:szCs w:val="20"/>
        </w:rPr>
        <w:t xml:space="preserve"> </w:t>
      </w:r>
      <w:r w:rsidRPr="00C26010">
        <w:rPr>
          <w:i/>
          <w:iCs/>
          <w:sz w:val="20"/>
          <w:szCs w:val="20"/>
        </w:rPr>
        <w:t>community).</w:t>
      </w:r>
    </w:p>
    <w:p w14:paraId="49D4D984" w14:textId="77777777" w:rsidR="00C26010" w:rsidRPr="00C26010" w:rsidRDefault="00C26010" w:rsidP="00C26010">
      <w:pPr>
        <w:pStyle w:val="ListParagraph"/>
        <w:numPr>
          <w:ilvl w:val="1"/>
          <w:numId w:val="4"/>
        </w:numPr>
        <w:tabs>
          <w:tab w:val="left" w:pos="920"/>
          <w:tab w:val="left" w:pos="921"/>
        </w:tabs>
        <w:spacing w:line="293" w:lineRule="exact"/>
        <w:rPr>
          <w:i/>
          <w:iCs/>
          <w:sz w:val="20"/>
          <w:szCs w:val="20"/>
        </w:rPr>
      </w:pPr>
      <w:r w:rsidRPr="00C26010">
        <w:rPr>
          <w:i/>
          <w:iCs/>
          <w:sz w:val="20"/>
          <w:szCs w:val="20"/>
        </w:rPr>
        <w:t>Indirect</w:t>
      </w:r>
      <w:r w:rsidRPr="00C26010">
        <w:rPr>
          <w:i/>
          <w:iCs/>
          <w:spacing w:val="-1"/>
          <w:sz w:val="20"/>
          <w:szCs w:val="20"/>
        </w:rPr>
        <w:t xml:space="preserve"> </w:t>
      </w:r>
      <w:r w:rsidRPr="00C26010">
        <w:rPr>
          <w:i/>
          <w:iCs/>
          <w:sz w:val="20"/>
          <w:szCs w:val="20"/>
        </w:rPr>
        <w:t>costs</w:t>
      </w:r>
    </w:p>
    <w:p w14:paraId="05A98170" w14:textId="77777777" w:rsidR="00C26010" w:rsidRPr="00C26010" w:rsidRDefault="00C26010" w:rsidP="00C26010">
      <w:pPr>
        <w:pStyle w:val="BodyText"/>
        <w:spacing w:before="11"/>
        <w:rPr>
          <w:i/>
          <w:iCs/>
          <w:sz w:val="20"/>
          <w:szCs w:val="20"/>
        </w:rPr>
      </w:pPr>
    </w:p>
    <w:p w14:paraId="52D7490E" w14:textId="77777777" w:rsidR="00C26010" w:rsidRPr="00C26010" w:rsidRDefault="00C26010" w:rsidP="00C26010">
      <w:pPr>
        <w:pStyle w:val="BodyText"/>
        <w:ind w:left="200" w:right="475"/>
        <w:rPr>
          <w:i/>
          <w:iCs/>
          <w:sz w:val="20"/>
          <w:szCs w:val="20"/>
        </w:rPr>
      </w:pPr>
      <w:r w:rsidRPr="00C26010">
        <w:rPr>
          <w:i/>
          <w:iCs/>
          <w:sz w:val="20"/>
          <w:szCs w:val="20"/>
        </w:rPr>
        <w:t>The ORLP Grant Program places a total budget (federal plus matching share) limitation of 25% on project costs not directly attributable to physical development/rehabilitation, supplies, equipment, or cost of land. The 25% cap includes, but is not limited to:</w:t>
      </w:r>
    </w:p>
    <w:p w14:paraId="281A6DBD" w14:textId="77777777" w:rsidR="00C26010" w:rsidRPr="00C26010" w:rsidRDefault="00C26010" w:rsidP="00C26010">
      <w:pPr>
        <w:pStyle w:val="BodyText"/>
        <w:spacing w:before="9"/>
        <w:rPr>
          <w:i/>
          <w:iCs/>
          <w:sz w:val="20"/>
          <w:szCs w:val="20"/>
        </w:rPr>
      </w:pPr>
    </w:p>
    <w:p w14:paraId="18F0A25C" w14:textId="77777777" w:rsidR="00C26010" w:rsidRPr="00C26010" w:rsidRDefault="00C26010" w:rsidP="00C26010">
      <w:pPr>
        <w:pStyle w:val="ListParagraph"/>
        <w:numPr>
          <w:ilvl w:val="1"/>
          <w:numId w:val="4"/>
        </w:numPr>
        <w:tabs>
          <w:tab w:val="left" w:pos="920"/>
          <w:tab w:val="left" w:pos="921"/>
        </w:tabs>
        <w:ind w:right="785"/>
        <w:rPr>
          <w:i/>
          <w:iCs/>
          <w:sz w:val="20"/>
          <w:szCs w:val="20"/>
        </w:rPr>
      </w:pPr>
      <w:r w:rsidRPr="00C26010">
        <w:rPr>
          <w:i/>
          <w:iCs/>
          <w:sz w:val="20"/>
          <w:szCs w:val="20"/>
        </w:rPr>
        <w:t>the overall management of activities directly related to finance (accounting, auditing, budgeting, contracting), and general grant administration costs (wages for grant administration, personnel, property management, equal</w:t>
      </w:r>
      <w:r w:rsidRPr="00C26010">
        <w:rPr>
          <w:i/>
          <w:iCs/>
          <w:spacing w:val="-3"/>
          <w:sz w:val="20"/>
          <w:szCs w:val="20"/>
        </w:rPr>
        <w:t xml:space="preserve"> </w:t>
      </w:r>
      <w:r w:rsidRPr="00C26010">
        <w:rPr>
          <w:i/>
          <w:iCs/>
          <w:sz w:val="20"/>
          <w:szCs w:val="20"/>
        </w:rPr>
        <w:t>opportunity).</w:t>
      </w:r>
    </w:p>
    <w:p w14:paraId="62916DD3" w14:textId="77777777" w:rsidR="00C26010" w:rsidRPr="00C26010" w:rsidRDefault="00C26010" w:rsidP="00C26010">
      <w:pPr>
        <w:pStyle w:val="BodyText"/>
        <w:spacing w:before="8"/>
        <w:rPr>
          <w:i/>
          <w:iCs/>
          <w:sz w:val="20"/>
          <w:szCs w:val="20"/>
        </w:rPr>
      </w:pPr>
    </w:p>
    <w:p w14:paraId="002F1FA8" w14:textId="77777777" w:rsidR="00C26010" w:rsidRPr="00C26010" w:rsidRDefault="00C26010" w:rsidP="00C26010">
      <w:pPr>
        <w:ind w:left="200" w:right="362"/>
        <w:rPr>
          <w:i/>
          <w:iCs/>
          <w:sz w:val="20"/>
          <w:szCs w:val="20"/>
        </w:rPr>
      </w:pPr>
      <w:r w:rsidRPr="00C26010">
        <w:rPr>
          <w:i/>
          <w:iCs/>
          <w:sz w:val="20"/>
          <w:szCs w:val="20"/>
        </w:rPr>
        <w:t xml:space="preserve">In accordance with </w:t>
      </w:r>
      <w:hyperlink r:id="rId5">
        <w:r w:rsidRPr="00C26010">
          <w:rPr>
            <w:i/>
            <w:iCs/>
            <w:sz w:val="20"/>
            <w:szCs w:val="20"/>
            <w:u w:val="single" w:color="0000FF"/>
          </w:rPr>
          <w:t xml:space="preserve">54 </w:t>
        </w:r>
      </w:hyperlink>
      <w:hyperlink r:id="rId6">
        <w:r w:rsidRPr="00C26010">
          <w:rPr>
            <w:i/>
            <w:iCs/>
            <w:sz w:val="20"/>
            <w:szCs w:val="20"/>
            <w:u w:val="single" w:color="0000FF"/>
          </w:rPr>
          <w:t xml:space="preserve">U.S.C. 200305(f)(1) </w:t>
        </w:r>
      </w:hyperlink>
      <w:r w:rsidRPr="00C26010">
        <w:rPr>
          <w:i/>
          <w:iCs/>
          <w:sz w:val="20"/>
          <w:szCs w:val="20"/>
        </w:rPr>
        <w:t>projects seeking LWCF ORLP grants may not include funds from other Federal sources in the project’s budget, including LWCF formula funds, even if all programs’ match requirements are met. Projects including other federal funds within the proposed budget, unless they are serving as authorized match, will be eliminated from the competition without consideration.</w:t>
      </w:r>
    </w:p>
    <w:p w14:paraId="2ADE2801" w14:textId="77777777" w:rsidR="00C26010" w:rsidRPr="00C26010" w:rsidRDefault="00C26010" w:rsidP="00C26010">
      <w:pPr>
        <w:pStyle w:val="BodyText"/>
        <w:rPr>
          <w:i/>
          <w:iCs/>
          <w:sz w:val="20"/>
          <w:szCs w:val="20"/>
        </w:rPr>
      </w:pPr>
    </w:p>
    <w:p w14:paraId="27B17C24" w14:textId="77777777" w:rsidR="00C26010" w:rsidRPr="00C26010" w:rsidRDefault="00C26010" w:rsidP="00C26010">
      <w:pPr>
        <w:pStyle w:val="BodyText"/>
        <w:ind w:left="200" w:right="528"/>
        <w:rPr>
          <w:i/>
          <w:iCs/>
          <w:sz w:val="20"/>
          <w:szCs w:val="20"/>
        </w:rPr>
      </w:pPr>
      <w:r w:rsidRPr="00C26010">
        <w:rPr>
          <w:i/>
          <w:iCs/>
          <w:sz w:val="20"/>
          <w:szCs w:val="20"/>
        </w:rPr>
        <w:t>Project sponsors are not permitted to also seek LWCF formula funding to support the proposed project except as an alternate grant source if not selected for an ORLP grant.</w:t>
      </w:r>
    </w:p>
    <w:p w14:paraId="32D955E8" w14:textId="77777777" w:rsidR="00C26010" w:rsidRDefault="00C26010" w:rsidP="0068162E">
      <w:pPr>
        <w:ind w:left="200"/>
      </w:pPr>
    </w:p>
    <w:sectPr w:rsidR="00C26010" w:rsidSect="0068162E">
      <w:pgSz w:w="12240" w:h="15840"/>
      <w:pgMar w:top="1380" w:right="1120" w:bottom="880" w:left="1240" w:header="0" w:footer="61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AFB"/>
    <w:multiLevelType w:val="hybridMultilevel"/>
    <w:tmpl w:val="479482FC"/>
    <w:lvl w:ilvl="0" w:tplc="99DC07D6">
      <w:start w:val="1"/>
      <w:numFmt w:val="upperLetter"/>
      <w:lvlText w:val="%1."/>
      <w:lvlJc w:val="left"/>
      <w:pPr>
        <w:ind w:left="920" w:hanging="361"/>
      </w:pPr>
      <w:rPr>
        <w:rFonts w:ascii="Times New Roman" w:eastAsia="Times New Roman" w:hAnsi="Times New Roman" w:cs="Times New Roman" w:hint="default"/>
        <w:spacing w:val="-1"/>
        <w:w w:val="99"/>
        <w:sz w:val="24"/>
        <w:szCs w:val="24"/>
        <w:lang w:val="en-US" w:eastAsia="en-US" w:bidi="en-US"/>
      </w:rPr>
    </w:lvl>
    <w:lvl w:ilvl="1" w:tplc="EF147E30">
      <w:start w:val="1"/>
      <w:numFmt w:val="decimal"/>
      <w:lvlText w:val="%2."/>
      <w:lvlJc w:val="left"/>
      <w:pPr>
        <w:ind w:left="1640" w:hanging="360"/>
      </w:pPr>
      <w:rPr>
        <w:rFonts w:hint="default"/>
        <w:spacing w:val="-2"/>
        <w:w w:val="99"/>
        <w:lang w:val="en-US" w:eastAsia="en-US" w:bidi="en-US"/>
      </w:rPr>
    </w:lvl>
    <w:lvl w:ilvl="2" w:tplc="9DF2E0E6">
      <w:numFmt w:val="bullet"/>
      <w:lvlText w:val="•"/>
      <w:lvlJc w:val="left"/>
      <w:pPr>
        <w:ind w:left="2555" w:hanging="360"/>
      </w:pPr>
      <w:rPr>
        <w:rFonts w:hint="default"/>
        <w:lang w:val="en-US" w:eastAsia="en-US" w:bidi="en-US"/>
      </w:rPr>
    </w:lvl>
    <w:lvl w:ilvl="3" w:tplc="5130F5C0">
      <w:numFmt w:val="bullet"/>
      <w:lvlText w:val="•"/>
      <w:lvlJc w:val="left"/>
      <w:pPr>
        <w:ind w:left="3471" w:hanging="360"/>
      </w:pPr>
      <w:rPr>
        <w:rFonts w:hint="default"/>
        <w:lang w:val="en-US" w:eastAsia="en-US" w:bidi="en-US"/>
      </w:rPr>
    </w:lvl>
    <w:lvl w:ilvl="4" w:tplc="5232B6CA">
      <w:numFmt w:val="bullet"/>
      <w:lvlText w:val="•"/>
      <w:lvlJc w:val="left"/>
      <w:pPr>
        <w:ind w:left="4386" w:hanging="360"/>
      </w:pPr>
      <w:rPr>
        <w:rFonts w:hint="default"/>
        <w:lang w:val="en-US" w:eastAsia="en-US" w:bidi="en-US"/>
      </w:rPr>
    </w:lvl>
    <w:lvl w:ilvl="5" w:tplc="0838AC4E">
      <w:numFmt w:val="bullet"/>
      <w:lvlText w:val="•"/>
      <w:lvlJc w:val="left"/>
      <w:pPr>
        <w:ind w:left="5302" w:hanging="360"/>
      </w:pPr>
      <w:rPr>
        <w:rFonts w:hint="default"/>
        <w:lang w:val="en-US" w:eastAsia="en-US" w:bidi="en-US"/>
      </w:rPr>
    </w:lvl>
    <w:lvl w:ilvl="6" w:tplc="B21A4706">
      <w:numFmt w:val="bullet"/>
      <w:lvlText w:val="•"/>
      <w:lvlJc w:val="left"/>
      <w:pPr>
        <w:ind w:left="6217" w:hanging="360"/>
      </w:pPr>
      <w:rPr>
        <w:rFonts w:hint="default"/>
        <w:lang w:val="en-US" w:eastAsia="en-US" w:bidi="en-US"/>
      </w:rPr>
    </w:lvl>
    <w:lvl w:ilvl="7" w:tplc="3BBE3490">
      <w:numFmt w:val="bullet"/>
      <w:lvlText w:val="•"/>
      <w:lvlJc w:val="left"/>
      <w:pPr>
        <w:ind w:left="7133" w:hanging="360"/>
      </w:pPr>
      <w:rPr>
        <w:rFonts w:hint="default"/>
        <w:lang w:val="en-US" w:eastAsia="en-US" w:bidi="en-US"/>
      </w:rPr>
    </w:lvl>
    <w:lvl w:ilvl="8" w:tplc="D49849D8">
      <w:numFmt w:val="bullet"/>
      <w:lvlText w:val="•"/>
      <w:lvlJc w:val="left"/>
      <w:pPr>
        <w:ind w:left="8048" w:hanging="360"/>
      </w:pPr>
      <w:rPr>
        <w:rFonts w:hint="default"/>
        <w:lang w:val="en-US" w:eastAsia="en-US" w:bidi="en-US"/>
      </w:rPr>
    </w:lvl>
  </w:abstractNum>
  <w:abstractNum w:abstractNumId="1" w15:restartNumberingAfterBreak="0">
    <w:nsid w:val="1B0543E4"/>
    <w:multiLevelType w:val="hybridMultilevel"/>
    <w:tmpl w:val="98D0F166"/>
    <w:lvl w:ilvl="0" w:tplc="721E89C4">
      <w:start w:val="3"/>
      <w:numFmt w:val="decimal"/>
      <w:lvlText w:val="%1."/>
      <w:lvlJc w:val="left"/>
      <w:pPr>
        <w:ind w:left="431" w:hanging="232"/>
        <w:jc w:val="left"/>
      </w:pPr>
      <w:rPr>
        <w:rFonts w:ascii="Times New Roman" w:eastAsia="Times New Roman" w:hAnsi="Times New Roman" w:cs="Times New Roman" w:hint="default"/>
        <w:b/>
        <w:bCs/>
        <w:w w:val="95"/>
        <w:sz w:val="24"/>
        <w:szCs w:val="24"/>
        <w:lang w:val="en-US" w:eastAsia="en-US" w:bidi="en-US"/>
      </w:rPr>
    </w:lvl>
    <w:lvl w:ilvl="1" w:tplc="9D2E7C86">
      <w:numFmt w:val="bullet"/>
      <w:lvlText w:val=""/>
      <w:lvlJc w:val="left"/>
      <w:pPr>
        <w:ind w:left="920" w:hanging="361"/>
      </w:pPr>
      <w:rPr>
        <w:rFonts w:ascii="Symbol" w:eastAsia="Symbol" w:hAnsi="Symbol" w:cs="Symbol" w:hint="default"/>
        <w:w w:val="100"/>
        <w:sz w:val="24"/>
        <w:szCs w:val="24"/>
        <w:lang w:val="en-US" w:eastAsia="en-US" w:bidi="en-US"/>
      </w:rPr>
    </w:lvl>
    <w:lvl w:ilvl="2" w:tplc="B48CE78E">
      <w:numFmt w:val="bullet"/>
      <w:lvlText w:val="•"/>
      <w:lvlJc w:val="left"/>
      <w:pPr>
        <w:ind w:left="1915" w:hanging="361"/>
      </w:pPr>
      <w:rPr>
        <w:rFonts w:hint="default"/>
        <w:lang w:val="en-US" w:eastAsia="en-US" w:bidi="en-US"/>
      </w:rPr>
    </w:lvl>
    <w:lvl w:ilvl="3" w:tplc="C75A5E84">
      <w:numFmt w:val="bullet"/>
      <w:lvlText w:val="•"/>
      <w:lvlJc w:val="left"/>
      <w:pPr>
        <w:ind w:left="2911" w:hanging="361"/>
      </w:pPr>
      <w:rPr>
        <w:rFonts w:hint="default"/>
        <w:lang w:val="en-US" w:eastAsia="en-US" w:bidi="en-US"/>
      </w:rPr>
    </w:lvl>
    <w:lvl w:ilvl="4" w:tplc="7E60BF8E">
      <w:numFmt w:val="bullet"/>
      <w:lvlText w:val="•"/>
      <w:lvlJc w:val="left"/>
      <w:pPr>
        <w:ind w:left="3906" w:hanging="361"/>
      </w:pPr>
      <w:rPr>
        <w:rFonts w:hint="default"/>
        <w:lang w:val="en-US" w:eastAsia="en-US" w:bidi="en-US"/>
      </w:rPr>
    </w:lvl>
    <w:lvl w:ilvl="5" w:tplc="46FA58E2">
      <w:numFmt w:val="bullet"/>
      <w:lvlText w:val="•"/>
      <w:lvlJc w:val="left"/>
      <w:pPr>
        <w:ind w:left="4902" w:hanging="361"/>
      </w:pPr>
      <w:rPr>
        <w:rFonts w:hint="default"/>
        <w:lang w:val="en-US" w:eastAsia="en-US" w:bidi="en-US"/>
      </w:rPr>
    </w:lvl>
    <w:lvl w:ilvl="6" w:tplc="3D18293C">
      <w:numFmt w:val="bullet"/>
      <w:lvlText w:val="•"/>
      <w:lvlJc w:val="left"/>
      <w:pPr>
        <w:ind w:left="5897" w:hanging="361"/>
      </w:pPr>
      <w:rPr>
        <w:rFonts w:hint="default"/>
        <w:lang w:val="en-US" w:eastAsia="en-US" w:bidi="en-US"/>
      </w:rPr>
    </w:lvl>
    <w:lvl w:ilvl="7" w:tplc="59EAE746">
      <w:numFmt w:val="bullet"/>
      <w:lvlText w:val="•"/>
      <w:lvlJc w:val="left"/>
      <w:pPr>
        <w:ind w:left="6893" w:hanging="361"/>
      </w:pPr>
      <w:rPr>
        <w:rFonts w:hint="default"/>
        <w:lang w:val="en-US" w:eastAsia="en-US" w:bidi="en-US"/>
      </w:rPr>
    </w:lvl>
    <w:lvl w:ilvl="8" w:tplc="1682DE58">
      <w:numFmt w:val="bullet"/>
      <w:lvlText w:val="•"/>
      <w:lvlJc w:val="left"/>
      <w:pPr>
        <w:ind w:left="7888" w:hanging="361"/>
      </w:pPr>
      <w:rPr>
        <w:rFonts w:hint="default"/>
        <w:lang w:val="en-US" w:eastAsia="en-US" w:bidi="en-US"/>
      </w:rPr>
    </w:lvl>
  </w:abstractNum>
  <w:abstractNum w:abstractNumId="2" w15:restartNumberingAfterBreak="0">
    <w:nsid w:val="1CBB663A"/>
    <w:multiLevelType w:val="hybridMultilevel"/>
    <w:tmpl w:val="F3B89A44"/>
    <w:lvl w:ilvl="0" w:tplc="C54C84E2">
      <w:numFmt w:val="bullet"/>
      <w:lvlText w:val=""/>
      <w:lvlJc w:val="left"/>
      <w:pPr>
        <w:ind w:left="1640" w:hanging="735"/>
      </w:pPr>
      <w:rPr>
        <w:rFonts w:ascii="Symbol" w:eastAsia="Symbol" w:hAnsi="Symbol" w:cs="Symbol" w:hint="default"/>
        <w:w w:val="100"/>
        <w:sz w:val="24"/>
        <w:szCs w:val="24"/>
        <w:lang w:val="en-US" w:eastAsia="en-US" w:bidi="en-US"/>
      </w:rPr>
    </w:lvl>
    <w:lvl w:ilvl="1" w:tplc="501EE626">
      <w:numFmt w:val="bullet"/>
      <w:lvlText w:val="•"/>
      <w:lvlJc w:val="left"/>
      <w:pPr>
        <w:ind w:left="2464" w:hanging="735"/>
      </w:pPr>
      <w:rPr>
        <w:rFonts w:hint="default"/>
        <w:lang w:val="en-US" w:eastAsia="en-US" w:bidi="en-US"/>
      </w:rPr>
    </w:lvl>
    <w:lvl w:ilvl="2" w:tplc="C8C6D4DE">
      <w:numFmt w:val="bullet"/>
      <w:lvlText w:val="•"/>
      <w:lvlJc w:val="left"/>
      <w:pPr>
        <w:ind w:left="3288" w:hanging="735"/>
      </w:pPr>
      <w:rPr>
        <w:rFonts w:hint="default"/>
        <w:lang w:val="en-US" w:eastAsia="en-US" w:bidi="en-US"/>
      </w:rPr>
    </w:lvl>
    <w:lvl w:ilvl="3" w:tplc="CF163B12">
      <w:numFmt w:val="bullet"/>
      <w:lvlText w:val="•"/>
      <w:lvlJc w:val="left"/>
      <w:pPr>
        <w:ind w:left="4112" w:hanging="735"/>
      </w:pPr>
      <w:rPr>
        <w:rFonts w:hint="default"/>
        <w:lang w:val="en-US" w:eastAsia="en-US" w:bidi="en-US"/>
      </w:rPr>
    </w:lvl>
    <w:lvl w:ilvl="4" w:tplc="A9464CE8">
      <w:numFmt w:val="bullet"/>
      <w:lvlText w:val="•"/>
      <w:lvlJc w:val="left"/>
      <w:pPr>
        <w:ind w:left="4936" w:hanging="735"/>
      </w:pPr>
      <w:rPr>
        <w:rFonts w:hint="default"/>
        <w:lang w:val="en-US" w:eastAsia="en-US" w:bidi="en-US"/>
      </w:rPr>
    </w:lvl>
    <w:lvl w:ilvl="5" w:tplc="ED6A97D2">
      <w:numFmt w:val="bullet"/>
      <w:lvlText w:val="•"/>
      <w:lvlJc w:val="left"/>
      <w:pPr>
        <w:ind w:left="5760" w:hanging="735"/>
      </w:pPr>
      <w:rPr>
        <w:rFonts w:hint="default"/>
        <w:lang w:val="en-US" w:eastAsia="en-US" w:bidi="en-US"/>
      </w:rPr>
    </w:lvl>
    <w:lvl w:ilvl="6" w:tplc="DDD49220">
      <w:numFmt w:val="bullet"/>
      <w:lvlText w:val="•"/>
      <w:lvlJc w:val="left"/>
      <w:pPr>
        <w:ind w:left="6584" w:hanging="735"/>
      </w:pPr>
      <w:rPr>
        <w:rFonts w:hint="default"/>
        <w:lang w:val="en-US" w:eastAsia="en-US" w:bidi="en-US"/>
      </w:rPr>
    </w:lvl>
    <w:lvl w:ilvl="7" w:tplc="6F80FEFE">
      <w:numFmt w:val="bullet"/>
      <w:lvlText w:val="•"/>
      <w:lvlJc w:val="left"/>
      <w:pPr>
        <w:ind w:left="7408" w:hanging="735"/>
      </w:pPr>
      <w:rPr>
        <w:rFonts w:hint="default"/>
        <w:lang w:val="en-US" w:eastAsia="en-US" w:bidi="en-US"/>
      </w:rPr>
    </w:lvl>
    <w:lvl w:ilvl="8" w:tplc="180CDD06">
      <w:numFmt w:val="bullet"/>
      <w:lvlText w:val="•"/>
      <w:lvlJc w:val="left"/>
      <w:pPr>
        <w:ind w:left="8232" w:hanging="735"/>
      </w:pPr>
      <w:rPr>
        <w:rFonts w:hint="default"/>
        <w:lang w:val="en-US" w:eastAsia="en-US" w:bidi="en-US"/>
      </w:rPr>
    </w:lvl>
  </w:abstractNum>
  <w:abstractNum w:abstractNumId="3" w15:restartNumberingAfterBreak="0">
    <w:nsid w:val="39040D81"/>
    <w:multiLevelType w:val="hybridMultilevel"/>
    <w:tmpl w:val="5E7075D2"/>
    <w:lvl w:ilvl="0" w:tplc="88440F42">
      <w:numFmt w:val="bullet"/>
      <w:lvlText w:val=""/>
      <w:lvlJc w:val="left"/>
      <w:pPr>
        <w:ind w:left="920" w:hanging="361"/>
      </w:pPr>
      <w:rPr>
        <w:rFonts w:ascii="Symbol" w:eastAsia="Symbol" w:hAnsi="Symbol" w:cs="Symbol" w:hint="default"/>
        <w:w w:val="100"/>
        <w:sz w:val="24"/>
        <w:szCs w:val="24"/>
        <w:lang w:val="en-US" w:eastAsia="en-US" w:bidi="en-US"/>
      </w:rPr>
    </w:lvl>
    <w:lvl w:ilvl="1" w:tplc="95EAB130">
      <w:numFmt w:val="bullet"/>
      <w:lvlText w:val="•"/>
      <w:lvlJc w:val="left"/>
      <w:pPr>
        <w:ind w:left="1816" w:hanging="361"/>
      </w:pPr>
      <w:rPr>
        <w:rFonts w:hint="default"/>
        <w:lang w:val="en-US" w:eastAsia="en-US" w:bidi="en-US"/>
      </w:rPr>
    </w:lvl>
    <w:lvl w:ilvl="2" w:tplc="2716EC72">
      <w:numFmt w:val="bullet"/>
      <w:lvlText w:val="•"/>
      <w:lvlJc w:val="left"/>
      <w:pPr>
        <w:ind w:left="2712" w:hanging="361"/>
      </w:pPr>
      <w:rPr>
        <w:rFonts w:hint="default"/>
        <w:lang w:val="en-US" w:eastAsia="en-US" w:bidi="en-US"/>
      </w:rPr>
    </w:lvl>
    <w:lvl w:ilvl="3" w:tplc="55B6BDB4">
      <w:numFmt w:val="bullet"/>
      <w:lvlText w:val="•"/>
      <w:lvlJc w:val="left"/>
      <w:pPr>
        <w:ind w:left="3608" w:hanging="361"/>
      </w:pPr>
      <w:rPr>
        <w:rFonts w:hint="default"/>
        <w:lang w:val="en-US" w:eastAsia="en-US" w:bidi="en-US"/>
      </w:rPr>
    </w:lvl>
    <w:lvl w:ilvl="4" w:tplc="2B68A100">
      <w:numFmt w:val="bullet"/>
      <w:lvlText w:val="•"/>
      <w:lvlJc w:val="left"/>
      <w:pPr>
        <w:ind w:left="4504" w:hanging="361"/>
      </w:pPr>
      <w:rPr>
        <w:rFonts w:hint="default"/>
        <w:lang w:val="en-US" w:eastAsia="en-US" w:bidi="en-US"/>
      </w:rPr>
    </w:lvl>
    <w:lvl w:ilvl="5" w:tplc="0248E936">
      <w:numFmt w:val="bullet"/>
      <w:lvlText w:val="•"/>
      <w:lvlJc w:val="left"/>
      <w:pPr>
        <w:ind w:left="5400" w:hanging="361"/>
      </w:pPr>
      <w:rPr>
        <w:rFonts w:hint="default"/>
        <w:lang w:val="en-US" w:eastAsia="en-US" w:bidi="en-US"/>
      </w:rPr>
    </w:lvl>
    <w:lvl w:ilvl="6" w:tplc="3D0ED4EA">
      <w:numFmt w:val="bullet"/>
      <w:lvlText w:val="•"/>
      <w:lvlJc w:val="left"/>
      <w:pPr>
        <w:ind w:left="6296" w:hanging="361"/>
      </w:pPr>
      <w:rPr>
        <w:rFonts w:hint="default"/>
        <w:lang w:val="en-US" w:eastAsia="en-US" w:bidi="en-US"/>
      </w:rPr>
    </w:lvl>
    <w:lvl w:ilvl="7" w:tplc="8C6EF22A">
      <w:numFmt w:val="bullet"/>
      <w:lvlText w:val="•"/>
      <w:lvlJc w:val="left"/>
      <w:pPr>
        <w:ind w:left="7192" w:hanging="361"/>
      </w:pPr>
      <w:rPr>
        <w:rFonts w:hint="default"/>
        <w:lang w:val="en-US" w:eastAsia="en-US" w:bidi="en-US"/>
      </w:rPr>
    </w:lvl>
    <w:lvl w:ilvl="8" w:tplc="001EF550">
      <w:numFmt w:val="bullet"/>
      <w:lvlText w:val="•"/>
      <w:lvlJc w:val="left"/>
      <w:pPr>
        <w:ind w:left="8088" w:hanging="361"/>
      </w:pPr>
      <w:rPr>
        <w:rFonts w:hint="default"/>
        <w:lang w:val="en-US" w:eastAsia="en-US" w:bidi="en-US"/>
      </w:rPr>
    </w:lvl>
  </w:abstractNum>
  <w:num w:numId="1" w16cid:durableId="1418599203">
    <w:abstractNumId w:val="2"/>
  </w:num>
  <w:num w:numId="2" w16cid:durableId="945389084">
    <w:abstractNumId w:val="0"/>
  </w:num>
  <w:num w:numId="3" w16cid:durableId="215896838">
    <w:abstractNumId w:val="3"/>
  </w:num>
  <w:num w:numId="4" w16cid:durableId="1542398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C1"/>
    <w:rsid w:val="000B4D13"/>
    <w:rsid w:val="004F1AC8"/>
    <w:rsid w:val="0068162E"/>
    <w:rsid w:val="00B739C1"/>
    <w:rsid w:val="00C26010"/>
    <w:rsid w:val="00F9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00A2"/>
  <w15:chartTrackingRefBased/>
  <w15:docId w15:val="{007B0E68-C621-4153-90A6-E4AEDBB0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C1"/>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68162E"/>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39C1"/>
    <w:rPr>
      <w:sz w:val="24"/>
      <w:szCs w:val="24"/>
    </w:rPr>
  </w:style>
  <w:style w:type="character" w:customStyle="1" w:styleId="BodyTextChar">
    <w:name w:val="Body Text Char"/>
    <w:basedOn w:val="DefaultParagraphFont"/>
    <w:link w:val="BodyText"/>
    <w:uiPriority w:val="1"/>
    <w:rsid w:val="00B739C1"/>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B739C1"/>
    <w:pPr>
      <w:ind w:left="920" w:hanging="361"/>
    </w:pPr>
  </w:style>
  <w:style w:type="character" w:customStyle="1" w:styleId="Heading1Char">
    <w:name w:val="Heading 1 Char"/>
    <w:basedOn w:val="DefaultParagraphFont"/>
    <w:link w:val="Heading1"/>
    <w:uiPriority w:val="9"/>
    <w:rsid w:val="0068162E"/>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ode.house.gov/view.xhtml?req=54%2BUSC%2B200305&amp;f=treesort&amp;fq=true&amp;num=9&amp;hl=true&amp;edition=prelim&amp;granuleId=USC-prelim-title54-section200305" TargetMode="External"/><Relationship Id="rId5" Type="http://schemas.openxmlformats.org/officeDocument/2006/relationships/hyperlink" Target="https://uscode.house.gov/view.xhtml?req=54%2BUSC%2B200305&amp;f=treesort&amp;fq=true&amp;num=9&amp;hl=true&amp;edition=prelim&amp;granuleId=USC-prelim-title54-section2003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Antoinette</dc:creator>
  <cp:keywords/>
  <dc:description/>
  <cp:lastModifiedBy>Norfleet, Antoinette</cp:lastModifiedBy>
  <cp:revision>4</cp:revision>
  <dcterms:created xsi:type="dcterms:W3CDTF">2023-11-29T22:04:00Z</dcterms:created>
  <dcterms:modified xsi:type="dcterms:W3CDTF">2023-11-29T22:10:00Z</dcterms:modified>
</cp:coreProperties>
</file>